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市人民医院建华院区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融媒体钢化玻璃推拉门及圆形台面安装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拟对建华院区融媒体钢化玻璃推拉门及圆形台面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进行更换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安装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报名截止时间：2026年6月24日下午17时00分（北京时间）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  王召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664C02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8F2897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8D6A17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3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2026-06-22T00:23:25Z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